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6B7280"/>
          <w:spacing w:val="60"/>
          <w:sz w:val="17"/>
          <w:szCs w:val="17"/>
        </w:rPr>
        <w:t xml:space="preserve">ZAZEN TAX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F2A37"/>
          <w:sz w:val="40"/>
          <w:szCs w:val="40"/>
        </w:rPr>
        <w:t xml:space="preserve">Making Tax Digital Readiness</w:t>
      </w:r>
    </w:p>
    <w:p>
      <w:pPr>
        <w:spacing w:after="6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About thirty five minutes. Most of it is finding out whether you are in scope, which is decided on a figure most people do not check.</w:t>
      </w:r>
    </w:p>
    <w:tbl>
      <w:tblPr>
        <w:tblW w:type="dxa" w:w="9000"/>
        <w:tblBorders>
          <w:top w:val="single" w:color="DFE3E8" w:sz="2"/>
          <w:left w:val="none" w:color="FFFFFF" w:sz="0"/>
          <w:bottom w:val="single" w:color="DFE3E8" w:sz="2"/>
          <w:right w:val="none" w:color="FFFFFF" w:sz="0"/>
          <w:insideH w:val="none" w:color="FFFFFF" w:sz="0"/>
          <w:insideV w:val="none" w:color="FFFFFF" w:sz="0"/>
        </w:tblBorders>
      </w:tblPr>
      <w:tblGrid>
        <w:gridCol w:w="3000"/>
        <w:gridCol w:w="3000"/>
        <w:gridCol w:w="300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40"/>
              <w:left w:type="dxa" w:w="0"/>
              <w:bottom w:type="dxa" w:w="20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8"/>
                <w:szCs w:val="18"/>
              </w:rPr>
              <w:t xml:space="preserve">Checked by   </w:t>
            </w:r>
            <w:r>
              <w:rPr>
                <w:rFonts w:ascii="Calibri" w:cs="Calibri" w:eastAsia="Calibri" w:hAnsi="Calibri"/>
                <w:color w:val="B9C0CC"/>
                <w:sz w:val="20"/>
                <w:szCs w:val="20"/>
              </w:rPr>
              <w:t xml:space="preserve">........................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40"/>
              <w:left w:type="dxa" w:w="0"/>
              <w:bottom w:type="dxa" w:w="20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8"/>
                <w:szCs w:val="18"/>
              </w:rPr>
              <w:t xml:space="preserve">Tax year   </w:t>
            </w:r>
            <w:r>
              <w:rPr>
                <w:rFonts w:ascii="Calibri" w:cs="Calibri" w:eastAsia="Calibri" w:hAnsi="Calibri"/>
                <w:color w:val="B9C0CC"/>
                <w:sz w:val="20"/>
                <w:szCs w:val="20"/>
              </w:rPr>
              <w:t xml:space="preserve">........................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40"/>
              <w:left w:type="dxa" w:w="0"/>
              <w:bottom w:type="dxa" w:w="20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8"/>
                <w:szCs w:val="18"/>
              </w:rPr>
              <w:t xml:space="preserve">Date   </w:t>
            </w:r>
            <w:r>
              <w:rPr>
                <w:rFonts w:ascii="Calibri" w:cs="Calibri" w:eastAsia="Calibri" w:hAnsi="Calibri"/>
                <w:color w:val="B9C0CC"/>
                <w:sz w:val="20"/>
                <w:szCs w:val="20"/>
              </w:rPr>
              <w:t xml:space="preserve">........................</w:t>
            </w:r>
          </w:p>
        </w:tc>
      </w:tr>
    </w:tbl>
    <w:p>
      <w:pPr>
        <w:spacing w:after="150" w:line="2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Making Tax Digital for Income Tax replaces the annual Self Assessment return with four quarterly updates and a year-end declaration. It arrives in three phases and the first has already started.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1.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Are you actually in scope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10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Work out your qualifying income, which is gross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Income from self employment and property before any allowances or expenses. Not profit.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Check it against the phase thresholds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Over £50,000 from 6 April 2026. Over £30,000 from 6 April 2027. Over £20,000 from 6 April 2028.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Remember it is measured two years back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The 2026 start uses your 2024 to 2025 figures, so it is already decided by the time it applies.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Add up every source, not just the main one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Self employment and property together, not each on its own.</w:t>
            </w:r>
          </w:p>
        </w:tc>
      </w:tr>
    </w:tbl>
    <w:p>
      <w:pPr>
        <w:spacing w:after="240"/>
      </w:pPr>
      <w:r>
        <w:rPr>
          <w:rFonts w:ascii="Calibri" w:cs="Calibri" w:eastAsia="Calibri" w:hAnsi="Calibri"/>
        </w:rPr>
        <w:t xml:space="preserve"/>
      </w:r>
    </w:p>
    <w:p>
      <w:pPr>
        <w:pBdr>
          <w:top w:val="single" w:color="DFE3E8" w:sz="2"/>
          <w:bottom w:val="none" w:color="FFFFFF" w:sz="0"/>
          <w:left w:val="single" w:color="1F2A37" w:sz="18"/>
          <w:right w:val="single" w:color="DFE3E8" w:sz="2"/>
        </w:pBdr>
        <w:shd w:fill="FDF8EE" w:val="clear"/>
        <w:spacing w:before="200"/>
        <w:ind w:left="200" w:right="200"/>
      </w:pPr>
      <w:r>
        <w:rPr>
          <w:rFonts w:ascii="Calibri" w:cs="Calibri" w:eastAsia="Calibri" w:hAnsi="Calibri"/>
          <w:b/>
          <w:bCs/>
          <w:color w:val="6B7280"/>
          <w:spacing w:val="30"/>
          <w:sz w:val="16"/>
          <w:szCs w:val="16"/>
        </w:rPr>
        <w:t xml:space="preserve">THE MISTAKE ALMOST EVERYBODY MAKES</w:t>
      </w:r>
    </w:p>
    <w:p>
      <w:pPr>
        <w:pBdr>
          <w:top w:val="none" w:color="FFFFFF" w:sz="0"/>
          <w:bottom w:val="single" w:color="DFE3E8" w:sz="2"/>
          <w:left w:val="single" w:color="1F2A37" w:sz="18"/>
          <w:right w:val="single" w:color="DFE3E8" w:sz="2"/>
        </w:pBdr>
        <w:shd w:fill="FDF8EE" w:val="clear"/>
        <w:spacing w:after="220" w:before="30"/>
        <w:ind w:left="200" w:right="200"/>
      </w:pPr>
      <w:r>
        <w:rPr>
          <w:rFonts w:ascii="Calibri" w:cs="Calibri" w:eastAsia="Calibri" w:hAnsi="Calibri"/>
          <w:color w:val="1F2A37"/>
          <w:sz w:val="21"/>
          <w:szCs w:val="21"/>
        </w:rPr>
        <w:t xml:space="preserve">Looking at profit. A freelancer invoicing £64,000 and making £55,000 is in scope from April 2026. So is one invoicing £64,000 and making £12,000. Qualifying income is the gross figure, before a single expense comes off.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2.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Software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5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Check your software is on HMRC's compatible list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A spreadsheet alone is not enough unless it is bridged by something that is.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Make sure it can file quarterly updates, not just accounts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Those are different obligations and not every package does both.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Connect it to HMRC and authorise it before you need to file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The authorisation step is the one that fails at five to midnight.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3.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Digital records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10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Record income and expenses digitally, as they happen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Not typed up in a batch at the quarter end. The requirement is digital records, kept in the software.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Categorise as you go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The update wants totals by category, so uncategorised entries become a job rather than a click.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Keep the digital link intact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If figures move between systems they have to move digitally, not by retyping.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4.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The four updates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5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Decide standard or calendar periods before your first update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Standard periods run to the 5th. Calendar periods run to the month end. You choose in the software, and after the first update of the year it is fixed.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Diarise all four deadlines now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7 August, 7 November, 7 February and 7 May, whichever periods you chose.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Understand that an update is not a return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It is a running total. Nothing is final and nothing is claimed until the year end.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5.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The year end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5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Make the final declaration after the fourth update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This is what replaces the Self Assessment return, and it is where reliefs and adjustments go in.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Check the payment dates have not moved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31 January and 31 July, as before. The filing changed, the paying did not.</w:t>
            </w:r>
          </w:p>
        </w:tc>
      </w:tr>
    </w:tbl>
    <w:p>
      <w:pPr>
        <w:spacing w:after="200"/>
      </w:pPr>
      <w:r>
        <w:rPr>
          <w:rFonts w:ascii="Calibri" w:cs="Calibri" w:eastAsia="Calibri" w:hAnsi="Calibri"/>
        </w:rPr>
        <w:t xml:space="preserve"/>
      </w:r>
    </w:p>
    <w:p>
      <w:pPr>
        <w:pBdr>
          <w:top w:val="single" w:color="1F2A37" w:sz="12"/>
        </w:pBdr>
        <w:spacing w:before="100"/>
      </w:pPr>
      <w:r>
        <w:rPr>
          <w:rFonts w:ascii="Calibri" w:cs="Calibri" w:eastAsia="Calibri" w:hAnsi="Calibri"/>
        </w:rPr>
        <w:t xml:space="preserve"/>
      </w:r>
    </w:p>
    <w:p>
      <w:pPr>
        <w:spacing w:before="200"/>
      </w:pPr>
      <w:r>
        <w:rPr>
          <w:rFonts w:ascii="Calibri" w:cs="Calibri" w:eastAsia="Calibri" w:hAnsi="Calibri"/>
          <w:b/>
          <w:bCs/>
          <w:color w:val="1F2A37"/>
          <w:sz w:val="26"/>
          <w:szCs w:val="26"/>
        </w:rPr>
        <w:t xml:space="preserve">Zazen Tax</w:t>
      </w:r>
    </w:p>
    <w:p>
      <w:pPr>
        <w:spacing w:after="150" w:line="2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Accountants for people who work for themselves. zazentax.com/contact</w:t>
      </w:r>
    </w:p>
    <w:p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General information, not advice for your circumstances. Rates are 2026/27 for the UK and change from time to time.</w:t>
      </w:r>
    </w:p>
    <w:sectPr>
      <w:pgSz w:w="11906" w:h="16838" w:orient="portrait"/>
      <w:pgMar w:top="1152" w:right="1296" w:bottom="1152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Making Tax Digital Readiness Checklist</dc:title>
  <dc:creator>Zazen Tax</dc:creator>
  <dc:description>Whether you are in scope, and what to have working before you are</dc:description>
  <cp:lastModifiedBy>Un-named</cp:lastModifiedBy>
  <cp:revision>1</cp:revision>
  <dcterms:created xsi:type="dcterms:W3CDTF">2026-08-13T11:58:30.213Z</dcterms:created>
  <dcterms:modified xsi:type="dcterms:W3CDTF">2026-08-13T11:58:30.213Z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