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6B7280"/>
          <w:spacing w:val="60"/>
          <w:sz w:val="17"/>
          <w:szCs w:val="17"/>
        </w:rPr>
        <w:t xml:space="preserve">ZAZEN TAX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F2A37"/>
          <w:sz w:val="40"/>
          <w:szCs w:val="40"/>
        </w:rPr>
        <w:t xml:space="preserve">New Client Onboarding</w:t>
      </w:r>
    </w:p>
    <w:p>
      <w:pPr>
        <w:spacing w:after="6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About thirty minutes, almost all of it before you send a price. Everything here is harder to ask for once the work has started.</w:t>
      </w:r>
    </w:p>
    <w:tbl>
      <w:tblPr>
        <w:tblW w:type="dxa" w:w="9000"/>
        <w:tblBorders>
          <w:top w:val="single" w:color="DFE3E8" w:sz="2"/>
          <w:left w:val="none" w:color="FFFFFF" w:sz="0"/>
          <w:bottom w:val="single" w:color="DFE3E8" w:sz="2"/>
          <w:right w:val="none" w:color="FFFFFF" w:sz="0"/>
          <w:insideH w:val="none" w:color="FFFFFF" w:sz="0"/>
          <w:insideV w:val="none" w:color="FFFFFF" w:sz="0"/>
        </w:tblBorders>
      </w:tblPr>
      <w:tblGrid>
        <w:gridCol w:w="3000"/>
        <w:gridCol w:w="3000"/>
        <w:gridCol w:w="300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40"/>
              <w:left w:type="dxa" w:w="0"/>
              <w:bottom w:type="dxa" w:w="20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8"/>
                <w:szCs w:val="18"/>
              </w:rPr>
              <w:t xml:space="preserve">Client   </w:t>
            </w:r>
            <w:r>
              <w:rPr>
                <w:rFonts w:ascii="Calibri" w:cs="Calibri" w:eastAsia="Calibri" w:hAnsi="Calibri"/>
                <w:color w:val="B9C0CC"/>
                <w:sz w:val="20"/>
                <w:szCs w:val="20"/>
              </w:rPr>
              <w:t xml:space="preserve">........................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40"/>
              <w:left w:type="dxa" w:w="0"/>
              <w:bottom w:type="dxa" w:w="20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8"/>
                <w:szCs w:val="18"/>
              </w:rPr>
              <w:t xml:space="preserve">Started   </w:t>
            </w:r>
            <w:r>
              <w:rPr>
                <w:rFonts w:ascii="Calibri" w:cs="Calibri" w:eastAsia="Calibri" w:hAnsi="Calibri"/>
                <w:color w:val="B9C0CC"/>
                <w:sz w:val="20"/>
                <w:szCs w:val="20"/>
              </w:rPr>
              <w:t xml:space="preserve">........................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40"/>
              <w:left w:type="dxa" w:w="0"/>
              <w:bottom w:type="dxa" w:w="20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8"/>
                <w:szCs w:val="18"/>
              </w:rPr>
              <w:t xml:space="preserve">Rate agreed   </w:t>
            </w:r>
            <w:r>
              <w:rPr>
                <w:rFonts w:ascii="Calibri" w:cs="Calibri" w:eastAsia="Calibri" w:hAnsi="Calibri"/>
                <w:color w:val="B9C0CC"/>
                <w:sz w:val="20"/>
                <w:szCs w:val="20"/>
              </w:rPr>
              <w:t xml:space="preserve">........................</w:t>
            </w:r>
          </w:p>
        </w:tc>
      </w:tr>
    </w:tbl>
    <w:p>
      <w:pPr>
        <w:spacing w:after="150" w:line="2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A new client is the only moment you have leverage. After the first invoice you are asking for a favour; before it you are agreeing terms.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1.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Before you quote anything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10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Ask what the work actually is, in writing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A scope you can point at later is worth more than an hour of goodwill when the fourth revision arrives.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Agree how many rounds of revisions are included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Two is normal. Unlimited is a fixed price with a variable cost, which is not a price at all.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Ask whether they consider this inside or outside IR35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Only relevant if you work through your own company. Their answer tells you a lot about how they see the relationship.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Find out how big the client is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A small private client means your company determines status and carries the risk. Medium or large, or public sector, and they must give you a Status Determination Statement.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Check who actually signs off the invoice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The person briefing you is often not the person paying you, and that gap is where sixty day payments come from.</w:t>
            </w:r>
          </w:p>
        </w:tc>
      </w:tr>
    </w:tbl>
    <w:p>
      <w:pPr>
        <w:spacing w:after="240"/>
      </w:pPr>
      <w:r>
        <w:rPr>
          <w:rFonts w:ascii="Calibri" w:cs="Calibri" w:eastAsia="Calibri" w:hAnsi="Calibri"/>
        </w:rPr>
        <w:t xml:space="preserve"/>
      </w:r>
    </w:p>
    <w:p>
      <w:pPr>
        <w:pBdr>
          <w:top w:val="single" w:color="DFE3E8" w:sz="2"/>
          <w:bottom w:val="none" w:color="FFFFFF" w:sz="0"/>
          <w:left w:val="single" w:color="1F2A37" w:sz="18"/>
          <w:right w:val="single" w:color="DFE3E8" w:sz="2"/>
        </w:pBdr>
        <w:shd w:fill="FDF8EE" w:val="clear"/>
        <w:spacing w:before="200"/>
        <w:ind w:left="200" w:right="200"/>
      </w:pPr>
      <w:r>
        <w:rPr>
          <w:rFonts w:ascii="Calibri" w:cs="Calibri" w:eastAsia="Calibri" w:hAnsi="Calibri"/>
          <w:b/>
          <w:bCs/>
          <w:color w:val="6B7280"/>
          <w:spacing w:val="30"/>
          <w:sz w:val="16"/>
          <w:szCs w:val="16"/>
        </w:rPr>
        <w:t xml:space="preserve">WHY THE SIZE QUESTION IS ON A FREELANCE CHECKLIST</w:t>
      </w:r>
    </w:p>
    <w:p>
      <w:pPr>
        <w:pBdr>
          <w:top w:val="none" w:color="FFFFFF" w:sz="0"/>
          <w:bottom w:val="single" w:color="DFE3E8" w:sz="2"/>
          <w:left w:val="single" w:color="1F2A37" w:sz="18"/>
          <w:right w:val="single" w:color="DFE3E8" w:sz="2"/>
        </w:pBdr>
        <w:shd w:fill="FDF8EE" w:val="clear"/>
        <w:spacing w:after="220" w:before="30"/>
        <w:ind w:left="200" w:right="200"/>
      </w:pPr>
      <w:r>
        <w:rPr>
          <w:rFonts w:ascii="Calibri" w:cs="Calibri" w:eastAsia="Calibri" w:hAnsi="Calibri"/>
          <w:color w:val="1F2A37"/>
          <w:sz w:val="21"/>
          <w:szCs w:val="21"/>
        </w:rPr>
        <w:t xml:space="preserve">From 6 April 2025 a private sector client is small if it meets two of three: turnover not more than £15 million, balance sheet not more than £7.5 million, and not more than 50 employees. Clients that were medium in 2024 may be small now, which moves the determination and the liability back to you.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2.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The money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5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Quote a rate you worked out, not one you matched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From what you need out of the year and the days you can actually bill, which is nearer two thirds than all of them.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Agree payment terms in writing, and keep them short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Thirty days is standard. Anything longer is a loan you are making, and you should price it.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Ask for a deposit on anything substantial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It is not rude. It is the difference between a bad month and a bad quarter if the client disappears.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Put a late payment clause in, or rely on the statutory one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Either way you are entitled to base plus eight per cent and a fixed sum per invoice. A clause with a lower rate replaces that right, so do not set one badly.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3.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The paperwork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5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Something in writing, even if it is an email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A signed contract is better. An email confirming scope, rate, rounds and terms is enough to be going on with.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Agree who owns the work and when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Usually on payment, not on delivery. Say so.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Check whether they need you on their supplier system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Some portals take three weeks to set up and will not pay anything until you are on them.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Confirm your insurance covers this kind of work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Professional indemnity often has exclusions that matter for a new sector.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4.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Into your own systems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5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Add them to the invoice tracker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With their terms, so days over is measured against what was agreed rather than what feels late.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Add them to the client profitability tracker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Fees and hours from the first job, because the biggest client is rarely the best one and you want to know early.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Diarise the first invoice and the date it falls due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Chasing on the day it is late is normal. Chasing three weeks later teaches the client what your terms really are.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5.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The things that should worry you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5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Reluctance to put anything in writing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A scope that changes twice before you have quoted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Payment terms you were not asked about, only told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Urgency that is not matched by any decision speed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</w:r>
          </w:p>
        </w:tc>
      </w:tr>
    </w:tbl>
    <w:p>
      <w:pPr>
        <w:spacing w:after="200"/>
      </w:pPr>
      <w:r>
        <w:rPr>
          <w:rFonts w:ascii="Calibri" w:cs="Calibri" w:eastAsia="Calibri" w:hAnsi="Calibri"/>
        </w:rPr>
        <w:t xml:space="preserve"/>
      </w:r>
    </w:p>
    <w:p>
      <w:pPr>
        <w:pBdr>
          <w:top w:val="single" w:color="1F2A37" w:sz="12"/>
        </w:pBdr>
        <w:spacing w:before="100"/>
      </w:pPr>
      <w:r>
        <w:rPr>
          <w:rFonts w:ascii="Calibri" w:cs="Calibri" w:eastAsia="Calibri" w:hAnsi="Calibri"/>
        </w:rPr>
        <w:t xml:space="preserve"/>
      </w:r>
    </w:p>
    <w:p>
      <w:pPr>
        <w:spacing w:before="200"/>
      </w:pPr>
      <w:r>
        <w:rPr>
          <w:rFonts w:ascii="Calibri" w:cs="Calibri" w:eastAsia="Calibri" w:hAnsi="Calibri"/>
          <w:b/>
          <w:bCs/>
          <w:color w:val="1F2A37"/>
          <w:sz w:val="26"/>
          <w:szCs w:val="26"/>
        </w:rPr>
        <w:t xml:space="preserve">Zazen Tax</w:t>
      </w:r>
    </w:p>
    <w:p>
      <w:pPr>
        <w:spacing w:after="150" w:line="2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Accountants for people who work for themselves. zazentax.com/contact</w:t>
      </w:r>
    </w:p>
    <w:p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General information, not advice for your circumstances. Rates are 2026/27 for the UK and change from time to time.</w:t>
      </w:r>
    </w:p>
    <w:sectPr>
      <w:pgSz w:w="11906" w:h="16838" w:orient="portrait"/>
      <w:pgMar w:top="1152" w:right="1296" w:bottom="1152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Client Onboarding Checklist</dc:title>
  <dc:creator>Zazen Tax</dc:creator>
  <dc:description>The questions to settle before you quote, not after</dc:description>
  <cp:lastModifiedBy>Un-named</cp:lastModifiedBy>
  <cp:revision>1</cp:revision>
  <dcterms:created xsi:type="dcterms:W3CDTF">2026-08-13T11:58:30.203Z</dcterms:created>
  <dcterms:modified xsi:type="dcterms:W3CDTF">2026-08-13T11:58:30.204Z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