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6B7280"/>
          <w:spacing w:val="60"/>
          <w:sz w:val="17"/>
          <w:szCs w:val="17"/>
        </w:rPr>
        <w:t xml:space="preserve">ZAZEN TAX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F2A37"/>
          <w:sz w:val="40"/>
          <w:szCs w:val="40"/>
        </w:rPr>
        <w:t xml:space="preserve">Quarterly Routine</w:t>
      </w:r>
    </w:p>
    <w:p>
      <w:pPr>
        <w:spacing w:after="6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About an hour a quarter if you keep up during the months, and most of a day if you do not.</w:t>
      </w:r>
    </w:p>
    <w:tbl>
      <w:tblPr>
        <w:tblW w:type="dxa" w:w="9000"/>
        <w:tblBorders>
          <w:top w:val="single" w:color="DFE3E8" w:sz="2"/>
          <w:left w:val="none" w:color="FFFFFF" w:sz="0"/>
          <w:bottom w:val="single" w:color="DFE3E8" w:sz="2"/>
          <w:right w:val="none" w:color="FFFFFF" w:sz="0"/>
          <w:insideH w:val="none" w:color="FFFFFF" w:sz="0"/>
          <w:insideV w:val="none" w:color="FFFFFF" w:sz="0"/>
        </w:tblBorders>
      </w:tblPr>
      <w:tblGrid>
        <w:gridCol w:w="3000"/>
        <w:gridCol w:w="3000"/>
        <w:gridCol w:w="300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40"/>
              <w:left w:type="dxa" w:w="0"/>
              <w:bottom w:type="dxa" w:w="20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8"/>
                <w:szCs w:val="18"/>
              </w:rPr>
              <w:t xml:space="preserve">Quarter ending   </w:t>
            </w:r>
            <w:r>
              <w:rPr>
                <w:rFonts w:ascii="Calibri" w:cs="Calibri" w:eastAsia="Calibri" w:hAnsi="Calibri"/>
                <w:color w:val="B9C0CC"/>
                <w:sz w:val="20"/>
                <w:szCs w:val="20"/>
              </w:rPr>
              <w:t xml:space="preserve">........................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40"/>
              <w:left w:type="dxa" w:w="0"/>
              <w:bottom w:type="dxa" w:w="20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8"/>
                <w:szCs w:val="18"/>
              </w:rPr>
              <w:t xml:space="preserve">Completed by   </w:t>
            </w:r>
            <w:r>
              <w:rPr>
                <w:rFonts w:ascii="Calibri" w:cs="Calibri" w:eastAsia="Calibri" w:hAnsi="Calibri"/>
                <w:color w:val="B9C0CC"/>
                <w:sz w:val="20"/>
                <w:szCs w:val="20"/>
              </w:rPr>
              <w:t xml:space="preserve">........................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40"/>
              <w:left w:type="dxa" w:w="0"/>
              <w:bottom w:type="dxa" w:w="20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8"/>
                <w:szCs w:val="18"/>
              </w:rPr>
              <w:t xml:space="preserve">Date   </w:t>
            </w:r>
            <w:r>
              <w:rPr>
                <w:rFonts w:ascii="Calibri" w:cs="Calibri" w:eastAsia="Calibri" w:hAnsi="Calibri"/>
                <w:color w:val="B9C0CC"/>
                <w:sz w:val="20"/>
                <w:szCs w:val="20"/>
              </w:rPr>
              <w:t xml:space="preserve">........................</w:t>
            </w:r>
          </w:p>
        </w:tc>
      </w:tr>
    </w:tbl>
    <w:p>
      <w:pPr>
        <w:spacing w:after="150" w:line="2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Built around the Making Tax Digital deadlines: 7 August, 7 November, 7 February and 7 May. Even if you are not yet in scope, the rhythm is the one to get into.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0"/>
      </w:tblGrid>
      <w:tr>
        <w:tc>
          <w:tcPr>
            <w:tcW w:type="dxa" w:w="9000"/>
            <w:shd w:fill="1F2A37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93A3"/>
                <w:sz w:val="22"/>
                <w:szCs w:val="22"/>
              </w:rPr>
              <w:t xml:space="preserve">1.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Every month, as it happens</w:t>
            </w:r>
            <w:r>
              <w:rPr>
                <w:rFonts w:ascii="Calibri" w:cs="Calibri" w:eastAsia="Calibri" w:hAnsi="Calibri"/>
                <w:color w:val="AEB6C2"/>
                <w:sz w:val="18"/>
                <w:szCs w:val="18"/>
              </w:rPr>
              <w:t xml:space="preserve">      about 10 minutes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"/>
        <w:gridCol w:w="8580"/>
      </w:tblGrid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Record income and expenses digitally, categorised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Not in a batch at the quarter end. The requirement is that records are kept digitally as you go.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Move the tax reserve across on the day an invoice is paid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A percentage of the invoice into an account you do not have a card for.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Chase anything past its terms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On the day, not three weeks later. What you tolerate becomes the terms.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Log your hours, billable and not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It is the only way to know your real utilisation, and your rate depends on it.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0"/>
      </w:tblGrid>
      <w:tr>
        <w:tc>
          <w:tcPr>
            <w:tcW w:type="dxa" w:w="9000"/>
            <w:shd w:fill="1F2A37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93A3"/>
                <w:sz w:val="22"/>
                <w:szCs w:val="22"/>
              </w:rPr>
              <w:t xml:space="preserve">2.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At the quarter end</w:t>
            </w:r>
            <w:r>
              <w:rPr>
                <w:rFonts w:ascii="Calibri" w:cs="Calibri" w:eastAsia="Calibri" w:hAnsi="Calibri"/>
                <w:color w:val="AEB6C2"/>
                <w:sz w:val="18"/>
                <w:szCs w:val="18"/>
              </w:rPr>
              <w:t xml:space="preserve">      about 10 minutes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"/>
        <w:gridCol w:w="8580"/>
      </w:tblGrid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Reconcile the bank to your records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Every line, both directions.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Check nothing personal is sitting in the business account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And nothing business is sitting in the personal one.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Categorise anything still uncategorised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Check equipment purchases are on the register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Not just in the expenses, because three years from now you will need to know what you claimed.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0"/>
      </w:tblGrid>
      <w:tr>
        <w:tc>
          <w:tcPr>
            <w:tcW w:type="dxa" w:w="9000"/>
            <w:shd w:fill="1F2A37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93A3"/>
                <w:sz w:val="22"/>
                <w:szCs w:val="22"/>
              </w:rPr>
              <w:t xml:space="preserve">3.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By the 7th of the second month</w:t>
            </w:r>
            <w:r>
              <w:rPr>
                <w:rFonts w:ascii="Calibri" w:cs="Calibri" w:eastAsia="Calibri" w:hAnsi="Calibri"/>
                <w:color w:val="AEB6C2"/>
                <w:sz w:val="18"/>
                <w:szCs w:val="18"/>
              </w:rPr>
              <w:t xml:space="preserve">      about 5 minutes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"/>
        <w:gridCol w:w="8580"/>
      </w:tblGrid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File the quarterly update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7 August, 7 November, 7 February or 7 May.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Check the figures are cumulative for the year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An update is a running total, not a quarter in isolation.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Do not treat it as final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Nothing is claimed or adjusted until the year-end declaration.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0"/>
      </w:tblGrid>
      <w:tr>
        <w:tc>
          <w:tcPr>
            <w:tcW w:type="dxa" w:w="9000"/>
            <w:shd w:fill="1F2A37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93A3"/>
                <w:sz w:val="22"/>
                <w:szCs w:val="22"/>
              </w:rPr>
              <w:t xml:space="preserve">4.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The money, once the books are straight</w:t>
            </w:r>
            <w:r>
              <w:rPr>
                <w:rFonts w:ascii="Calibri" w:cs="Calibri" w:eastAsia="Calibri" w:hAnsi="Calibri"/>
                <w:color w:val="AEB6C2"/>
                <w:sz w:val="18"/>
                <w:szCs w:val="18"/>
              </w:rPr>
              <w:t xml:space="preserve">      about 15 minutes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"/>
        <w:gridCol w:w="8580"/>
      </w:tblGrid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Age the unpaid invoices, oldest first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Not a list of who owes you, a list of how long they have owed it. The second one is the one that gets paid.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Check the tax reserve against the quarter's profit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A reserve set as a share of invoices drifts when your costs change. A quarter is long enough for it to matter and short enough to fix.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Check the thirteen week cash flow still reaches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Update it with what actually landed rather than what you invoiced.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Check whether you are approaching the VAT threshold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£90,000 of taxable turnover in any rolling twelve months, not a tax year, so it can be crossed mid-year on last autumn's work.</w:t>
            </w:r>
          </w:p>
        </w:tc>
      </w:tr>
    </w:tbl>
    <w:p>
      <w:pPr>
        <w:spacing w:after="240"/>
      </w:pPr>
      <w:r>
        <w:rPr>
          <w:rFonts w:ascii="Calibri" w:cs="Calibri" w:eastAsia="Calibri" w:hAnsi="Calibri"/>
        </w:rPr>
        <w:t xml:space="preserve"/>
      </w:r>
    </w:p>
    <w:p>
      <w:pPr>
        <w:pBdr>
          <w:top w:val="single" w:color="DFE3E8" w:sz="2"/>
          <w:bottom w:val="none" w:color="FFFFFF" w:sz="0"/>
          <w:left w:val="single" w:color="1F2A37" w:sz="18"/>
          <w:right w:val="single" w:color="DFE3E8" w:sz="2"/>
        </w:pBdr>
        <w:shd w:fill="FDF8EE" w:val="clear"/>
        <w:spacing w:before="200"/>
        <w:ind w:left="200" w:right="200"/>
      </w:pPr>
      <w:r>
        <w:rPr>
          <w:rFonts w:ascii="Calibri" w:cs="Calibri" w:eastAsia="Calibri" w:hAnsi="Calibri"/>
          <w:b/>
          <w:bCs/>
          <w:color w:val="6B7280"/>
          <w:spacing w:val="30"/>
          <w:sz w:val="16"/>
          <w:szCs w:val="16"/>
        </w:rPr>
        <w:t xml:space="preserve">THE ONE FIGURE WORTH THE WHOLE REVIEW</w:t>
      </w:r>
    </w:p>
    <w:p>
      <w:pPr>
        <w:pBdr>
          <w:top w:val="none" w:color="FFFFFF" w:sz="0"/>
          <w:bottom w:val="single" w:color="DFE3E8" w:sz="2"/>
          <w:left w:val="single" w:color="1F2A37" w:sz="18"/>
          <w:right w:val="single" w:color="DFE3E8" w:sz="2"/>
        </w:pBdr>
        <w:shd w:fill="FDF8EE" w:val="clear"/>
        <w:spacing w:after="220" w:before="30"/>
        <w:ind w:left="200" w:right="200"/>
      </w:pPr>
      <w:r>
        <w:rPr>
          <w:rFonts w:ascii="Calibri" w:cs="Calibri" w:eastAsia="Calibri" w:hAnsi="Calibri"/>
          <w:color w:val="1F2A37"/>
          <w:sz w:val="21"/>
          <w:szCs w:val="21"/>
        </w:rPr>
        <w:t xml:space="preserve">Fees divided by hours, per client, including the hours you did not bill: the calls, the revisions, the chasing. The biggest client is very often not the best one, and a quarter is the shortest period long enough to show it.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0"/>
      </w:tblGrid>
      <w:tr>
        <w:tc>
          <w:tcPr>
            <w:tcW w:type="dxa" w:w="9000"/>
            <w:shd w:fill="1F2A37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93A3"/>
                <w:sz w:val="22"/>
                <w:szCs w:val="22"/>
              </w:rPr>
              <w:t xml:space="preserve">5.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Once a quarter, the business questions</w:t>
            </w:r>
            <w:r>
              <w:rPr>
                <w:rFonts w:ascii="Calibri" w:cs="Calibri" w:eastAsia="Calibri" w:hAnsi="Calibri"/>
                <w:color w:val="AEB6C2"/>
                <w:sz w:val="18"/>
                <w:szCs w:val="18"/>
              </w:rPr>
              <w:t xml:space="preserve">      about 15 minutes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"/>
        <w:gridCol w:w="8580"/>
      </w:tblGrid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Look at utilisation for the quarter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Billable days over working days. If it is well below the assumption your rate was built on, the rate is wrong rather than your effort.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Add the days and divide once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Do not average the monthly percentages. That weights a short month the same as a long one, and the answer can land either side of the truth.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Look at fees over hours by client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Anything well under your effective rate is being subsidised by the rest of your clients.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Decide whether the rate changes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Once a year is a decision. Never is a pay cut taken slowly.</w:t>
            </w:r>
          </w:p>
        </w:tc>
      </w:tr>
    </w:tbl>
    <w:p>
      <w:pPr>
        <w:spacing w:after="200"/>
      </w:pPr>
      <w:r>
        <w:rPr>
          <w:rFonts w:ascii="Calibri" w:cs="Calibri" w:eastAsia="Calibri" w:hAnsi="Calibri"/>
        </w:rPr>
        <w:t xml:space="preserve"/>
      </w:r>
    </w:p>
    <w:p>
      <w:pPr>
        <w:pBdr>
          <w:top w:val="single" w:color="1F2A37" w:sz="12"/>
        </w:pBdr>
        <w:spacing w:before="100"/>
      </w:pPr>
      <w:r>
        <w:rPr>
          <w:rFonts w:ascii="Calibri" w:cs="Calibri" w:eastAsia="Calibri" w:hAnsi="Calibri"/>
        </w:rPr>
        <w:t xml:space="preserve"/>
      </w:r>
    </w:p>
    <w:p>
      <w:pPr>
        <w:spacing w:before="200"/>
      </w:pPr>
      <w:r>
        <w:rPr>
          <w:rFonts w:ascii="Calibri" w:cs="Calibri" w:eastAsia="Calibri" w:hAnsi="Calibri"/>
          <w:b/>
          <w:bCs/>
          <w:color w:val="1F2A37"/>
          <w:sz w:val="26"/>
          <w:szCs w:val="26"/>
        </w:rPr>
        <w:t xml:space="preserve">Zazen Tax</w:t>
      </w:r>
    </w:p>
    <w:p>
      <w:pPr>
        <w:spacing w:after="150" w:line="2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Accountants for people who work for themselves. zazentax.com/contact</w:t>
      </w:r>
    </w:p>
    <w:p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General information, not advice for your circumstances. Rates are 2026/27 for the UK and change from time to time.</w:t>
      </w:r>
    </w:p>
    <w:sectPr>
      <w:pgSz w:w="11906" w:h="16838" w:orient="portrait"/>
      <w:pgMar w:top="1152" w:right="1296" w:bottom="1152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Routine Checklist</dc:title>
  <dc:creator>Zazen Tax</dc:creator>
  <dc:description>The freelance quarter, in the order it has to happen</dc:description>
  <cp:lastModifiedBy>Un-named</cp:lastModifiedBy>
  <cp:revision>1</cp:revision>
  <dcterms:created xsi:type="dcterms:W3CDTF">2026-08-11T16:33:55.393Z</dcterms:created>
  <dcterms:modified xsi:type="dcterms:W3CDTF">2026-08-11T16:33:55.393Z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