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6B7280"/>
          <w:spacing w:val="60"/>
          <w:sz w:val="17"/>
          <w:szCs w:val="17"/>
        </w:rPr>
        <w:t xml:space="preserve">ZAZEN TAX</w:t>
      </w:r>
    </w:p>
    <w:p>
      <w:pPr>
        <w:spacing w:after="60"/>
      </w:pPr>
      <w:r>
        <w:rPr>
          <w:rFonts w:ascii="Calibri" w:cs="Calibri" w:eastAsia="Calibri" w:hAnsi="Calibri"/>
          <w:b/>
          <w:bCs/>
          <w:color w:val="1F2A37"/>
          <w:sz w:val="40"/>
          <w:szCs w:val="40"/>
        </w:rPr>
        <w:t xml:space="preserve">Year-End for Freelancers</w:t>
      </w:r>
    </w:p>
    <w:p>
      <w:pPr>
        <w:spacing w:after="60"/>
      </w:pPr>
      <w:r>
        <w:rPr>
          <w:rFonts w:ascii="Calibri" w:cs="Calibri" w:eastAsia="Calibri" w:hAnsi="Calibri"/>
          <w:color w:val="333333"/>
          <w:sz w:val="21"/>
          <w:szCs w:val="21"/>
        </w:rPr>
        <w:t xml:space="preserve">About ninety minutes, and the first section has to happen before your year end rather than after it.</w:t>
      </w:r>
    </w:p>
    <w:tbl>
      <w:tblPr>
        <w:tblW w:type="dxa" w:w="9000"/>
        <w:tblBorders>
          <w:top w:val="single" w:color="DFE3E8" w:sz="2"/>
          <w:left w:val="none" w:color="FFFFFF" w:sz="0"/>
          <w:bottom w:val="single" w:color="DFE3E8" w:sz="2"/>
          <w:right w:val="none" w:color="FFFFFF" w:sz="0"/>
          <w:insideH w:val="none" w:color="FFFFFF" w:sz="0"/>
          <w:insideV w:val="none" w:color="FFFFFF" w:sz="0"/>
        </w:tblBorders>
      </w:tblPr>
      <w:tblGrid>
        <w:gridCol w:w="3000"/>
        <w:gridCol w:w="3000"/>
        <w:gridCol w:w="3000"/>
      </w:tblGrid>
      <w:tr>
        <w:tc>
          <w:tcPr>
            <w:tcW w:type="dxa" w:w="3000"/>
            <w:tcBorders>
              <w:top w:val="none" w:color="FFFFFF" w:sz="0"/>
              <w:left w:val="none" w:color="FFFFFF" w:sz="0"/>
              <w:bottom w:val="none" w:color="FFFFFF" w:sz="0"/>
              <w:right w:val="none" w:color="FFFFFF" w:sz="0"/>
            </w:tcBorders>
            <w:tcMar>
              <w:top w:type="dxa" w:w="140"/>
              <w:left w:type="dxa" w:w="0"/>
              <w:bottom w:type="dxa" w:w="200"/>
              <w:right w:type="dxa" w:w="160"/>
            </w:tcMar>
          </w:tcPr>
          <w:p>
            <w:pPr>
              <w:spacing w:after="0"/>
            </w:pPr>
            <w:r>
              <w:rPr>
                <w:rFonts w:ascii="Calibri" w:cs="Calibri" w:eastAsia="Calibri" w:hAnsi="Calibri"/>
                <w:b/>
                <w:bCs/>
                <w:color w:val="6B7280"/>
                <w:sz w:val="18"/>
                <w:szCs w:val="18"/>
              </w:rPr>
              <w:t xml:space="preserve">Year ending   </w:t>
            </w:r>
            <w:r>
              <w:rPr>
                <w:rFonts w:ascii="Calibri" w:cs="Calibri" w:eastAsia="Calibri" w:hAnsi="Calibri"/>
                <w:color w:val="B9C0CC"/>
                <w:sz w:val="20"/>
                <w:szCs w:val="20"/>
              </w:rPr>
              <w:t xml:space="preserve">........................</w:t>
            </w:r>
          </w:p>
        </w:tc>
        <w:tc>
          <w:tcPr>
            <w:tcW w:type="dxa" w:w="3000"/>
            <w:tcBorders>
              <w:top w:val="none" w:color="FFFFFF" w:sz="0"/>
              <w:left w:val="none" w:color="FFFFFF" w:sz="0"/>
              <w:bottom w:val="none" w:color="FFFFFF" w:sz="0"/>
              <w:right w:val="none" w:color="FFFFFF" w:sz="0"/>
            </w:tcBorders>
            <w:tcMar>
              <w:top w:type="dxa" w:w="140"/>
              <w:left w:type="dxa" w:w="0"/>
              <w:bottom w:type="dxa" w:w="200"/>
              <w:right w:type="dxa" w:w="160"/>
            </w:tcMar>
          </w:tcPr>
          <w:p>
            <w:pPr>
              <w:spacing w:after="0"/>
            </w:pPr>
            <w:r>
              <w:rPr>
                <w:rFonts w:ascii="Calibri" w:cs="Calibri" w:eastAsia="Calibri" w:hAnsi="Calibri"/>
                <w:b/>
                <w:bCs/>
                <w:color w:val="6B7280"/>
                <w:sz w:val="18"/>
                <w:szCs w:val="18"/>
              </w:rPr>
              <w:t xml:space="preserve">Completed by   </w:t>
            </w:r>
            <w:r>
              <w:rPr>
                <w:rFonts w:ascii="Calibri" w:cs="Calibri" w:eastAsia="Calibri" w:hAnsi="Calibri"/>
                <w:color w:val="B9C0CC"/>
                <w:sz w:val="20"/>
                <w:szCs w:val="20"/>
              </w:rPr>
              <w:t xml:space="preserve">........................</w:t>
            </w:r>
          </w:p>
        </w:tc>
        <w:tc>
          <w:tcPr>
            <w:tcW w:type="dxa" w:w="3000"/>
            <w:tcBorders>
              <w:top w:val="none" w:color="FFFFFF" w:sz="0"/>
              <w:left w:val="none" w:color="FFFFFF" w:sz="0"/>
              <w:bottom w:val="none" w:color="FFFFFF" w:sz="0"/>
              <w:right w:val="none" w:color="FFFFFF" w:sz="0"/>
            </w:tcBorders>
            <w:tcMar>
              <w:top w:type="dxa" w:w="140"/>
              <w:left w:type="dxa" w:w="0"/>
              <w:bottom w:type="dxa" w:w="200"/>
              <w:right w:type="dxa" w:w="160"/>
            </w:tcMar>
          </w:tcPr>
          <w:p>
            <w:pPr>
              <w:spacing w:after="0"/>
            </w:pPr>
            <w:r>
              <w:rPr>
                <w:rFonts w:ascii="Calibri" w:cs="Calibri" w:eastAsia="Calibri" w:hAnsi="Calibri"/>
                <w:b/>
                <w:bCs/>
                <w:color w:val="6B7280"/>
                <w:sz w:val="18"/>
                <w:szCs w:val="18"/>
              </w:rPr>
              <w:t xml:space="preserve">Date   </w:t>
            </w:r>
            <w:r>
              <w:rPr>
                <w:rFonts w:ascii="Calibri" w:cs="Calibri" w:eastAsia="Calibri" w:hAnsi="Calibri"/>
                <w:color w:val="B9C0CC"/>
                <w:sz w:val="20"/>
                <w:szCs w:val="20"/>
              </w:rPr>
              <w:t xml:space="preserve">........................</w:t>
            </w:r>
          </w:p>
        </w:tc>
      </w:tr>
    </w:tbl>
    <w:p>
      <w:pPr>
        <w:spacing w:after="150" w:line="290"/>
      </w:pPr>
      <w:r>
        <w:rPr>
          <w:rFonts w:ascii="Calibri" w:cs="Calibri" w:eastAsia="Calibri" w:hAnsi="Calibri"/>
          <w:color w:val="333333"/>
          <w:sz w:val="21"/>
          <w:szCs w:val="21"/>
        </w:rPr>
        <w:t xml:space="preserve">Sole traders now align to the tax year, ending 5 April. Everything in the first section stops being available the moment that date passes.</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shd w:fill="1F2A37" w:val="clear"/>
            <w:tcMar>
              <w:top w:type="dxa" w:w="110"/>
              <w:left w:type="dxa" w:w="160"/>
              <w:bottom w:type="dxa" w:w="110"/>
              <w:right w:type="dxa" w:w="160"/>
            </w:tcMar>
          </w:tcPr>
          <w:p>
            <w:pPr>
              <w:spacing w:after="0"/>
            </w:pPr>
            <w:r>
              <w:rPr>
                <w:rFonts w:ascii="Calibri" w:cs="Calibri" w:eastAsia="Calibri" w:hAnsi="Calibri"/>
                <w:b/>
                <w:bCs/>
                <w:color w:val="8A93A3"/>
                <w:sz w:val="22"/>
                <w:szCs w:val="22"/>
              </w:rPr>
              <w:t xml:space="preserve">1.  </w:t>
            </w:r>
            <w:r>
              <w:rPr>
                <w:rFonts w:ascii="Calibri" w:cs="Calibri" w:eastAsia="Calibri" w:hAnsi="Calibri"/>
                <w:b/>
                <w:bCs/>
                <w:color w:val="FFFFFF"/>
                <w:sz w:val="22"/>
                <w:szCs w:val="22"/>
              </w:rPr>
              <w:t xml:space="preserve">Before the date, while you can still act</w:t>
            </w:r>
            <w:r>
              <w:rPr>
                <w:rFonts w:ascii="Calibri" w:cs="Calibri" w:eastAsia="Calibri" w:hAnsi="Calibri"/>
                <w:color w:val="AEB6C2"/>
                <w:sz w:val="18"/>
                <w:szCs w:val="18"/>
              </w:rPr>
              <w:t xml:space="preserve">      about 25 minutes</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20"/>
        <w:gridCol w:w="8580"/>
      </w:tblGrid>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Decide any equipment purchases before the date</w:t>
            </w:r>
          </w:p>
          <w:p>
            <w:pPr>
              <w:spacing w:after="0"/>
            </w:pPr>
            <w:r>
              <w:rPr>
                <w:rFonts w:ascii="Calibri" w:cs="Calibri" w:eastAsia="Calibri" w:hAnsi="Calibri"/>
                <w:color w:val="6B7280"/>
                <w:sz w:val="18"/>
                <w:szCs w:val="18"/>
              </w:rPr>
              <w:t xml:space="preserve">A laptop bought a day before gets its relief a full year earlier than one bought a day after.</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Consider a pension contribution</w:t>
            </w:r>
          </w:p>
          <w:p>
            <w:pPr>
              <w:spacing w:after="0"/>
            </w:pPr>
            <w:r>
              <w:rPr>
                <w:rFonts w:ascii="Calibri" w:cs="Calibri" w:eastAsia="Calibri" w:hAnsi="Calibri"/>
                <w:color w:val="6B7280"/>
                <w:sz w:val="18"/>
                <w:szCs w:val="18"/>
              </w:rPr>
              <w:t xml:space="preserve">One of the few things that still meaningfully reduces a freelance tax bill, and it has to be paid before the date.</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Decide on any invoice you are not going to collect</w:t>
            </w:r>
          </w:p>
          <w:p>
            <w:pPr>
              <w:spacing w:after="0"/>
            </w:pPr>
            <w:r>
              <w:rPr>
                <w:rFonts w:ascii="Calibri" w:cs="Calibri" w:eastAsia="Calibri" w:hAnsi="Calibri"/>
                <w:color w:val="6B7280"/>
                <w:sz w:val="18"/>
                <w:szCs w:val="18"/>
              </w:rPr>
              <w:t xml:space="preserve">Written off before the date it reduces this year's profit. Left hopeful, it does not.</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Check whether deferring or bringing forward an invoice helps</w:t>
            </w:r>
          </w:p>
          <w:p>
            <w:pPr>
              <w:spacing w:after="0"/>
            </w:pPr>
            <w:r>
              <w:rPr>
                <w:rFonts w:ascii="Calibri" w:cs="Calibri" w:eastAsia="Calibri" w:hAnsi="Calibri"/>
                <w:color w:val="6B7280"/>
                <w:sz w:val="18"/>
                <w:szCs w:val="18"/>
              </w:rPr>
              <w:t xml:space="preserve">Only if it moves you across a band, and only if the work genuinely allows it.</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shd w:fill="1F2A37" w:val="clear"/>
            <w:tcMar>
              <w:top w:type="dxa" w:w="110"/>
              <w:left w:type="dxa" w:w="160"/>
              <w:bottom w:type="dxa" w:w="110"/>
              <w:right w:type="dxa" w:w="160"/>
            </w:tcMar>
          </w:tcPr>
          <w:p>
            <w:pPr>
              <w:spacing w:after="0"/>
            </w:pPr>
            <w:r>
              <w:rPr>
                <w:rFonts w:ascii="Calibri" w:cs="Calibri" w:eastAsia="Calibri" w:hAnsi="Calibri"/>
                <w:b/>
                <w:bCs/>
                <w:color w:val="8A93A3"/>
                <w:sz w:val="22"/>
                <w:szCs w:val="22"/>
              </w:rPr>
              <w:t xml:space="preserve">2.  </w:t>
            </w:r>
            <w:r>
              <w:rPr>
                <w:rFonts w:ascii="Calibri" w:cs="Calibri" w:eastAsia="Calibri" w:hAnsi="Calibri"/>
                <w:b/>
                <w:bCs/>
                <w:color w:val="FFFFFF"/>
                <w:sz w:val="22"/>
                <w:szCs w:val="22"/>
              </w:rPr>
              <w:t xml:space="preserve">Income and who owes you</w:t>
            </w:r>
            <w:r>
              <w:rPr>
                <w:rFonts w:ascii="Calibri" w:cs="Calibri" w:eastAsia="Calibri" w:hAnsi="Calibri"/>
                <w:color w:val="AEB6C2"/>
                <w:sz w:val="18"/>
                <w:szCs w:val="18"/>
              </w:rPr>
              <w:t xml:space="preserve">      about 15 minutes</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20"/>
        <w:gridCol w:w="8580"/>
      </w:tblGrid>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List every invoice raised and not paid</w:t>
            </w:r>
          </w:p>
          <w:p>
            <w:pPr>
              <w:spacing w:after="0"/>
            </w:pPr>
            <w:r>
              <w:rPr>
                <w:rFonts w:ascii="Calibri" w:cs="Calibri" w:eastAsia="Calibri" w:hAnsi="Calibri"/>
                <w:color w:val="6B7280"/>
                <w:sz w:val="18"/>
                <w:szCs w:val="18"/>
              </w:rPr>
              <w:t xml:space="preserve">It is income for the year you raised it, not the year it arrives.</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List work done and not yet invoiced</w:t>
            </w:r>
          </w:p>
          <w:p>
            <w:pPr>
              <w:spacing w:after="0"/>
            </w:pPr>
            <w:r>
              <w:rPr>
                <w:rFonts w:ascii="Calibri" w:cs="Calibri" w:eastAsia="Calibri" w:hAnsi="Calibri"/>
                <w:color w:val="6B7280"/>
                <w:sz w:val="18"/>
                <w:szCs w:val="18"/>
              </w:rPr>
              <w:t xml:space="preserve">It still belongs to this year. Leaving it out understates the profit and the business.</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Check nothing has been counted twice</w:t>
            </w:r>
          </w:p>
          <w:p>
            <w:pPr>
              <w:spacing w:after="0"/>
            </w:pPr>
            <w:r>
              <w:rPr>
                <w:rFonts w:ascii="Calibri" w:cs="Calibri" w:eastAsia="Calibri" w:hAnsi="Calibri"/>
                <w:color w:val="6B7280"/>
                <w:sz w:val="18"/>
                <w:szCs w:val="18"/>
              </w:rPr>
              <w:t xml:space="preserve">The commonest error where a deposit and a final invoice cover the same work.</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shd w:fill="1F2A37" w:val="clear"/>
            <w:tcMar>
              <w:top w:type="dxa" w:w="110"/>
              <w:left w:type="dxa" w:w="160"/>
              <w:bottom w:type="dxa" w:w="110"/>
              <w:right w:type="dxa" w:w="160"/>
            </w:tcMar>
          </w:tcPr>
          <w:p>
            <w:pPr>
              <w:spacing w:after="0"/>
            </w:pPr>
            <w:r>
              <w:rPr>
                <w:rFonts w:ascii="Calibri" w:cs="Calibri" w:eastAsia="Calibri" w:hAnsi="Calibri"/>
                <w:b/>
                <w:bCs/>
                <w:color w:val="8A93A3"/>
                <w:sz w:val="22"/>
                <w:szCs w:val="22"/>
              </w:rPr>
              <w:t xml:space="preserve">3.  </w:t>
            </w:r>
            <w:r>
              <w:rPr>
                <w:rFonts w:ascii="Calibri" w:cs="Calibri" w:eastAsia="Calibri" w:hAnsi="Calibri"/>
                <w:b/>
                <w:bCs/>
                <w:color w:val="FFFFFF"/>
                <w:sz w:val="22"/>
                <w:szCs w:val="22"/>
              </w:rPr>
              <w:t xml:space="preserve">Costs and equipment</w:t>
            </w:r>
            <w:r>
              <w:rPr>
                <w:rFonts w:ascii="Calibri" w:cs="Calibri" w:eastAsia="Calibri" w:hAnsi="Calibri"/>
                <w:color w:val="AEB6C2"/>
                <w:sz w:val="18"/>
                <w:szCs w:val="18"/>
              </w:rPr>
              <w:t xml:space="preserve">      about 15 minutes</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20"/>
        <w:gridCol w:w="8580"/>
      </w:tblGrid>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Go through the bank for anything not yet recorded</w:t>
            </w:r>
          </w:p>
          <w:p>
            <w:pPr>
              <w:spacing w:after="0"/>
            </w:pPr>
            <w:r>
              <w:rPr>
                <w:rFonts w:ascii="Calibri" w:cs="Calibri" w:eastAsia="Calibri" w:hAnsi="Calibri"/>
                <w:color w:val="6B7280"/>
                <w:sz w:val="18"/>
                <w:szCs w:val="18"/>
              </w:rPr>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Split anything with private use</w:t>
            </w:r>
          </w:p>
          <w:p>
            <w:pPr>
              <w:spacing w:after="0"/>
            </w:pPr>
            <w:r>
              <w:rPr>
                <w:rFonts w:ascii="Calibri" w:cs="Calibri" w:eastAsia="Calibri" w:hAnsi="Calibri"/>
                <w:color w:val="6B7280"/>
                <w:sz w:val="18"/>
                <w:szCs w:val="18"/>
              </w:rPr>
              <w:t xml:space="preserve">Phone, broadband, car. A sensible proportion, applied consistently.</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Update the equipment register, including anything sold</w:t>
            </w:r>
          </w:p>
          <w:p>
            <w:pPr>
              <w:spacing w:after="0"/>
            </w:pPr>
            <w:r>
              <w:rPr>
                <w:rFonts w:ascii="Calibri" w:cs="Calibri" w:eastAsia="Calibri" w:hAnsi="Calibri"/>
                <w:color w:val="6B7280"/>
                <w:sz w:val="18"/>
                <w:szCs w:val="18"/>
              </w:rPr>
              <w:t xml:space="preserve">A sale creates a balancing charge, capped at what you claimed.</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Decide flat rate or actual for home working</w:t>
            </w:r>
          </w:p>
          <w:p>
            <w:pPr>
              <w:spacing w:after="0"/>
            </w:pPr>
            <w:r>
              <w:rPr>
                <w:rFonts w:ascii="Calibri" w:cs="Calibri" w:eastAsia="Calibri" w:hAnsi="Calibri"/>
                <w:color w:val="6B7280"/>
                <w:sz w:val="18"/>
                <w:szCs w:val="18"/>
              </w:rPr>
              <w:t xml:space="preserve">£10, £18 or £26 a month against a proportion of your actual costs. Keep some private use of the room either way.</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shd w:fill="1F2A37" w:val="clear"/>
            <w:tcMar>
              <w:top w:type="dxa" w:w="110"/>
              <w:left w:type="dxa" w:w="160"/>
              <w:bottom w:type="dxa" w:w="110"/>
              <w:right w:type="dxa" w:w="160"/>
            </w:tcMar>
          </w:tcPr>
          <w:p>
            <w:pPr>
              <w:spacing w:after="0"/>
            </w:pPr>
            <w:r>
              <w:rPr>
                <w:rFonts w:ascii="Calibri" w:cs="Calibri" w:eastAsia="Calibri" w:hAnsi="Calibri"/>
                <w:b/>
                <w:bCs/>
                <w:color w:val="8A93A3"/>
                <w:sz w:val="22"/>
                <w:szCs w:val="22"/>
              </w:rPr>
              <w:t xml:space="preserve">4.  </w:t>
            </w:r>
            <w:r>
              <w:rPr>
                <w:rFonts w:ascii="Calibri" w:cs="Calibri" w:eastAsia="Calibri" w:hAnsi="Calibri"/>
                <w:b/>
                <w:bCs/>
                <w:color w:val="FFFFFF"/>
                <w:sz w:val="22"/>
                <w:szCs w:val="22"/>
              </w:rPr>
              <w:t xml:space="preserve">The tax, and the January after</w:t>
            </w:r>
            <w:r>
              <w:rPr>
                <w:rFonts w:ascii="Calibri" w:cs="Calibri" w:eastAsia="Calibri" w:hAnsi="Calibri"/>
                <w:color w:val="AEB6C2"/>
                <w:sz w:val="18"/>
                <w:szCs w:val="18"/>
              </w:rPr>
              <w:t xml:space="preserve">      about 20 minutes</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20"/>
        <w:gridCol w:w="8580"/>
      </w:tblGrid>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Work out the liability before you need to pay it</w:t>
            </w:r>
          </w:p>
          <w:p>
            <w:pPr>
              <w:spacing w:after="0"/>
            </w:pPr>
            <w:r>
              <w:rPr>
                <w:rFonts w:ascii="Calibri" w:cs="Calibri" w:eastAsia="Calibri" w:hAnsi="Calibri"/>
                <w:color w:val="6B7280"/>
                <w:sz w:val="18"/>
                <w:szCs w:val="18"/>
              </w:rPr>
              <w:t xml:space="preserve">Income tax plus Class 4, which on a typical freelance profit is around a fifth.</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Check the reserve actually covers it</w:t>
            </w:r>
          </w:p>
          <w:p>
            <w:pPr>
              <w:spacing w:after="0"/>
            </w:pPr>
            <w:r>
              <w:rPr>
                <w:rFonts w:ascii="Calibri" w:cs="Calibri" w:eastAsia="Calibri" w:hAnsi="Calibri"/>
                <w:color w:val="6B7280"/>
                <w:sz w:val="18"/>
                <w:szCs w:val="18"/>
              </w:rPr>
              <w:t xml:space="preserve">And remember the first January carries a full year plus the first payment on account.</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Diarise 31 January and 31 July</w:t>
            </w:r>
          </w:p>
          <w:p>
            <w:pPr>
              <w:spacing w:after="0"/>
            </w:pPr>
            <w:r>
              <w:rPr>
                <w:rFonts w:ascii="Calibri" w:cs="Calibri" w:eastAsia="Calibri" w:hAnsi="Calibri"/>
                <w:color w:val="6B7280"/>
                <w:sz w:val="18"/>
                <w:szCs w:val="18"/>
              </w:rPr>
              <w:t xml:space="preserve">Both of them. July is the one people forget because nothing arrives to remind you.</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Check whether payments on account apply at all</w:t>
            </w:r>
          </w:p>
          <w:p>
            <w:pPr>
              <w:spacing w:after="0"/>
            </w:pPr>
            <w:r>
              <w:rPr>
                <w:rFonts w:ascii="Calibri" w:cs="Calibri" w:eastAsia="Calibri" w:hAnsi="Calibri"/>
                <w:color w:val="6B7280"/>
                <w:sz w:val="18"/>
                <w:szCs w:val="18"/>
              </w:rPr>
              <w:t xml:space="preserve">Not if the liability is under £1,000, or if 80 per cent was taxed at source.</w:t>
            </w:r>
          </w:p>
        </w:tc>
      </w:tr>
    </w:tbl>
    <w:p>
      <w:pPr>
        <w:spacing w:after="240"/>
      </w:pPr>
      <w:r>
        <w:rPr>
          <w:rFonts w:ascii="Calibri" w:cs="Calibri" w:eastAsia="Calibri" w:hAnsi="Calibri"/>
        </w:rPr>
        <w:t xml:space="preserve"/>
      </w:r>
    </w:p>
    <w:p>
      <w:pPr>
        <w:pBdr>
          <w:top w:val="single" w:color="DFE3E8" w:sz="2"/>
          <w:bottom w:val="none" w:color="FFFFFF" w:sz="0"/>
          <w:left w:val="single" w:color="1F2A37" w:sz="18"/>
          <w:right w:val="single" w:color="DFE3E8" w:sz="2"/>
        </w:pBdr>
        <w:shd w:fill="FDF8EE" w:val="clear"/>
        <w:spacing w:before="200"/>
        <w:ind w:left="200" w:right="200"/>
      </w:pPr>
      <w:r>
        <w:rPr>
          <w:rFonts w:ascii="Calibri" w:cs="Calibri" w:eastAsia="Calibri" w:hAnsi="Calibri"/>
          <w:b/>
          <w:bCs/>
          <w:color w:val="6B7280"/>
          <w:spacing w:val="30"/>
          <w:sz w:val="16"/>
          <w:szCs w:val="16"/>
        </w:rPr>
        <w:t xml:space="preserve">THE NUMBER TO KNOW BEFORE JANUARY</w:t>
      </w:r>
    </w:p>
    <w:p>
      <w:pPr>
        <w:pBdr>
          <w:top w:val="none" w:color="FFFFFF" w:sz="0"/>
          <w:bottom w:val="single" w:color="DFE3E8" w:sz="2"/>
          <w:left w:val="single" w:color="1F2A37" w:sz="18"/>
          <w:right w:val="single" w:color="DFE3E8" w:sz="2"/>
        </w:pBdr>
        <w:shd w:fill="FDF8EE" w:val="clear"/>
        <w:spacing w:after="220" w:before="30"/>
        <w:ind w:left="200" w:right="200"/>
      </w:pPr>
      <w:r>
        <w:rPr>
          <w:rFonts w:ascii="Calibri" w:cs="Calibri" w:eastAsia="Calibri" w:hAnsi="Calibri"/>
          <w:color w:val="1F2A37"/>
          <w:sz w:val="21"/>
          <w:szCs w:val="21"/>
        </w:rPr>
        <w:t xml:space="preserve">In your first year with payments on account, January is 150 per cent of a year's tax: the whole balancing payment plus half again on account. After that it settles to half in January and half in July. Reserving for one year's tax is exactly enough in year two and badly short in year one.</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shd w:fill="1F2A37" w:val="clear"/>
            <w:tcMar>
              <w:top w:type="dxa" w:w="110"/>
              <w:left w:type="dxa" w:w="160"/>
              <w:bottom w:type="dxa" w:w="110"/>
              <w:right w:type="dxa" w:w="160"/>
            </w:tcMar>
          </w:tcPr>
          <w:p>
            <w:pPr>
              <w:spacing w:after="0"/>
            </w:pPr>
            <w:r>
              <w:rPr>
                <w:rFonts w:ascii="Calibri" w:cs="Calibri" w:eastAsia="Calibri" w:hAnsi="Calibri"/>
                <w:b/>
                <w:bCs/>
                <w:color w:val="8A93A3"/>
                <w:sz w:val="22"/>
                <w:szCs w:val="22"/>
              </w:rPr>
              <w:t xml:space="preserve">5.  </w:t>
            </w:r>
            <w:r>
              <w:rPr>
                <w:rFonts w:ascii="Calibri" w:cs="Calibri" w:eastAsia="Calibri" w:hAnsi="Calibri"/>
                <w:b/>
                <w:bCs/>
                <w:color w:val="FFFFFF"/>
                <w:sz w:val="22"/>
                <w:szCs w:val="22"/>
              </w:rPr>
              <w:t xml:space="preserve">After the date</w:t>
            </w:r>
            <w:r>
              <w:rPr>
                <w:rFonts w:ascii="Calibri" w:cs="Calibri" w:eastAsia="Calibri" w:hAnsi="Calibri"/>
                <w:color w:val="AEB6C2"/>
                <w:sz w:val="18"/>
                <w:szCs w:val="18"/>
              </w:rPr>
              <w:t xml:space="preserve">      about 15 minutes</w:t>
            </w:r>
          </w:p>
        </w:tc>
      </w:tr>
    </w:tbl>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420"/>
        <w:gridCol w:w="8580"/>
      </w:tblGrid>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Get the records to your accountant early</w:t>
            </w:r>
          </w:p>
          <w:p>
            <w:pPr>
              <w:spacing w:after="0"/>
            </w:pPr>
            <w:r>
              <w:rPr>
                <w:rFonts w:ascii="Calibri" w:cs="Calibri" w:eastAsia="Calibri" w:hAnsi="Calibri"/>
                <w:color w:val="6B7280"/>
                <w:sz w:val="18"/>
                <w:szCs w:val="18"/>
              </w:rPr>
              <w:t xml:space="preserve">The bill is the same in May and in January. The options are not.</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Review your rate for the year ahead</w:t>
            </w:r>
          </w:p>
          <w:p>
            <w:pPr>
              <w:spacing w:after="0"/>
            </w:pPr>
            <w:r>
              <w:rPr>
                <w:rFonts w:ascii="Calibri" w:cs="Calibri" w:eastAsia="Calibri" w:hAnsi="Calibri"/>
                <w:color w:val="6B7280"/>
                <w:sz w:val="18"/>
                <w:szCs w:val="18"/>
              </w:rPr>
              <w:t xml:space="preserve">Using measured utilisation rather than last year's assumption.</w:t>
            </w:r>
          </w:p>
        </w:tc>
      </w:tr>
      <w:tr>
        <w:tc>
          <w:tcPr>
            <w:tcW w:type="dxa" w:w="420"/>
            <w:tcBorders>
              <w:top w:val="none" w:color="FFFFFF" w:sz="0"/>
              <w:left w:val="none" w:color="FFFFFF" w:sz="0"/>
              <w:bottom w:val="none" w:color="FFFFFF" w:sz="0"/>
              <w:right w:val="none" w:color="FFFFFF" w:sz="0"/>
            </w:tcBorders>
            <w:tcMar>
              <w:top w:type="dxa" w:w="90"/>
              <w:left w:type="dxa" w:w="40"/>
              <w:bottom w:type="dxa" w:w="90"/>
              <w:right w:type="dxa" w:w="120"/>
            </w:tcMar>
          </w:tcPr>
          <w:tbl>
            <w:tblPr>
              <w:tblW w:type="dxa" w:w="230"/>
              <w:tblBorders>
                <w:top w:val="single" w:color="9AA3B0" w:sz="6"/>
                <w:left w:val="single" w:color="9AA3B0" w:sz="6"/>
                <w:bottom w:val="single" w:color="9AA3B0" w:sz="6"/>
                <w:right w:val="single" w:color="9AA3B0" w:sz="6"/>
                <w:insideH w:val="none" w:color="FFFFFF" w:sz="0"/>
                <w:insideV w:val="none" w:color="FFFFFF" w:sz="0"/>
              </w:tblBorders>
            </w:tblPr>
            <w:tblGrid>
              <w:gridCol w:w="230"/>
            </w:tblGrid>
            <w:tr>
              <w:tc>
                <w:tcPr>
                  <w:tcW w:type="dxa" w:w="230"/>
                  <w:tcMar>
                    <w:top w:type="dxa" w:w="60"/>
                    <w:left w:type="dxa" w:w="40"/>
                    <w:bottom w:type="dxa" w:w="60"/>
                    <w:right w:type="dxa" w:w="40"/>
                  </w:tcMar>
                </w:tcPr>
                <w:p>
                  <w:pPr>
                    <w:spacing w:after="0"/>
                  </w:pPr>
                  <w:r>
                    <w:rPr>
                      <w:rFonts w:ascii="Calibri" w:cs="Calibri" w:eastAsia="Calibri" w:hAnsi="Calibri"/>
                    </w:rPr>
                    <w:t xml:space="preserve"/>
                  </w:r>
                </w:p>
              </w:tc>
            </w:tr>
          </w:tbl>
          <w:p/>
        </w:tc>
        <w:tc>
          <w:tcPr>
            <w:tcW w:type="dxa" w:w="8580"/>
            <w:tcBorders>
              <w:top w:val="none" w:color="FFFFFF" w:sz="0"/>
              <w:left w:val="none" w:color="FFFFFF" w:sz="0"/>
              <w:bottom w:val="single" w:color="DFE3E8" w:sz="2"/>
              <w:right w:val="none" w:color="FFFFFF" w:sz="0"/>
            </w:tcBorders>
            <w:tcMar>
              <w:top w:type="dxa" w:w="90"/>
              <w:left w:type="dxa" w:w="0"/>
              <w:bottom w:type="dxa" w:w="90"/>
              <w:right w:type="dxa" w:w="60"/>
            </w:tcMar>
          </w:tcPr>
          <w:p>
            <w:pPr>
              <w:spacing w:after="30"/>
            </w:pPr>
            <w:r>
              <w:rPr>
                <w:rFonts w:ascii="Calibri" w:cs="Calibri" w:eastAsia="Calibri" w:hAnsi="Calibri"/>
                <w:b/>
                <w:bCs/>
                <w:color w:val="1F2A37"/>
                <w:sz w:val="21"/>
                <w:szCs w:val="21"/>
              </w:rPr>
              <w:t xml:space="preserve">Check whether you crossed the VAT threshold</w:t>
            </w:r>
          </w:p>
          <w:p>
            <w:pPr>
              <w:spacing w:after="0"/>
            </w:pPr>
            <w:r>
              <w:rPr>
                <w:rFonts w:ascii="Calibri" w:cs="Calibri" w:eastAsia="Calibri" w:hAnsi="Calibri"/>
                <w:color w:val="6B7280"/>
                <w:sz w:val="18"/>
                <w:szCs w:val="18"/>
              </w:rPr>
              <w:t xml:space="preserve">Rolling twelve months, not the tax year, so it can happen in the middle of one.</w:t>
            </w:r>
          </w:p>
        </w:tc>
      </w:tr>
    </w:tbl>
    <w:p>
      <w:pPr>
        <w:spacing w:after="200"/>
      </w:pPr>
      <w:r>
        <w:rPr>
          <w:rFonts w:ascii="Calibri" w:cs="Calibri" w:eastAsia="Calibri" w:hAnsi="Calibri"/>
        </w:rPr>
        <w:t xml:space="preserve"/>
      </w:r>
    </w:p>
    <w:p>
      <w:pPr>
        <w:pBdr>
          <w:top w:val="single" w:color="1F2A37" w:sz="12"/>
        </w:pBdr>
        <w:spacing w:before="100"/>
      </w:pPr>
      <w:r>
        <w:rPr>
          <w:rFonts w:ascii="Calibri" w:cs="Calibri" w:eastAsia="Calibri" w:hAnsi="Calibri"/>
        </w:rPr>
        <w:t xml:space="preserve"/>
      </w:r>
    </w:p>
    <w:p>
      <w:pPr>
        <w:spacing w:before="200"/>
      </w:pPr>
      <w:r>
        <w:rPr>
          <w:rFonts w:ascii="Calibri" w:cs="Calibri" w:eastAsia="Calibri" w:hAnsi="Calibri"/>
          <w:b/>
          <w:bCs/>
          <w:color w:val="1F2A37"/>
          <w:sz w:val="26"/>
          <w:szCs w:val="26"/>
        </w:rPr>
        <w:t xml:space="preserve">Zazen Tax</w:t>
      </w:r>
    </w:p>
    <w:p>
      <w:pPr>
        <w:spacing w:after="150" w:line="290"/>
      </w:pPr>
      <w:r>
        <w:rPr>
          <w:rFonts w:ascii="Calibri" w:cs="Calibri" w:eastAsia="Calibri" w:hAnsi="Calibri"/>
          <w:color w:val="333333"/>
          <w:sz w:val="21"/>
          <w:szCs w:val="21"/>
        </w:rPr>
        <w:t xml:space="preserve">Accountants for people who work for themselves. zazentax.com/contact</w:t>
      </w:r>
    </w:p>
    <w:p>
      <w:r>
        <w:rPr>
          <w:rFonts w:ascii="Calibri" w:cs="Calibri" w:eastAsia="Calibri" w:hAnsi="Calibri"/>
          <w:i/>
          <w:iCs/>
          <w:color w:val="6B7280"/>
          <w:sz w:val="17"/>
          <w:szCs w:val="17"/>
        </w:rPr>
        <w:t xml:space="preserve">General information, not advice for your circumstances. Rates are 2026/27 for the UK and change from time to time.</w:t>
      </w:r>
    </w:p>
    <w:sectPr>
      <w:pgSz w:w="11906" w:h="16838" w:orient="portrait"/>
      <w:pgMar w:top="1152" w:right="1296" w:bottom="1152"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Year-End Checklist for Freelancers</dc:title>
  <dc:creator>Zazen Tax</dc:creator>
  <dc:description>The decisions before the date, and the January that follows</dc:description>
  <cp:lastModifiedBy>Un-named</cp:lastModifiedBy>
  <cp:revision>1</cp:revision>
  <dcterms:created xsi:type="dcterms:W3CDTF">2026-08-11T16:33:55.397Z</dcterms:created>
  <dcterms:modified xsi:type="dcterms:W3CDTF">2026-08-11T16:33:55.397Z</dcterms:modified>
</cp:coreProperties>
</file>

<file path=docProps/custom.xml><?xml version="1.0" encoding="utf-8"?>
<Properties xmlns="http://schemas.openxmlformats.org/officeDocument/2006/custom-properties" xmlns:vt="http://schemas.openxmlformats.org/officeDocument/2006/docPropsVTypes"/>
</file>